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6E041101"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w:t>
      </w:r>
      <w:r w:rsidR="00CF0C34">
        <w:rPr>
          <w:rFonts w:cs="Arial"/>
          <w:sz w:val="24"/>
          <w:szCs w:val="24"/>
          <w:lang w:val="de-DE"/>
        </w:rPr>
        <w:t>TSG</w:t>
      </w:r>
      <w:r w:rsidR="004F3CA1">
        <w:rPr>
          <w:rFonts w:cs="Arial"/>
          <w:sz w:val="24"/>
          <w:szCs w:val="24"/>
          <w:lang w:val="de-DE"/>
        </w:rPr>
        <w:t>-</w:t>
      </w:r>
      <w:r w:rsidRPr="00DB3907">
        <w:rPr>
          <w:rFonts w:cs="Arial"/>
          <w:sz w:val="24"/>
          <w:szCs w:val="24"/>
          <w:lang w:val="de-DE"/>
        </w:rPr>
        <w:t xml:space="preserve">RAN WG4 </w:t>
      </w:r>
      <w:r>
        <w:rPr>
          <w:rFonts w:cs="Arial"/>
          <w:sz w:val="24"/>
          <w:szCs w:val="24"/>
          <w:lang w:val="de-DE"/>
        </w:rPr>
        <w:t>#</w:t>
      </w:r>
      <w:r w:rsidR="000A34FE">
        <w:rPr>
          <w:rFonts w:cs="Arial"/>
          <w:sz w:val="24"/>
          <w:szCs w:val="24"/>
          <w:lang w:val="de-DE"/>
        </w:rPr>
        <w:t>107</w:t>
      </w:r>
      <w:r w:rsidRPr="00DB3907">
        <w:rPr>
          <w:rFonts w:cs="Arial"/>
          <w:sz w:val="24"/>
          <w:szCs w:val="24"/>
          <w:lang w:val="de-DE"/>
        </w:rPr>
        <w:tab/>
      </w:r>
      <w:r w:rsidR="001C7538" w:rsidRPr="001C7538">
        <w:rPr>
          <w:rFonts w:cs="Arial"/>
          <w:sz w:val="24"/>
          <w:szCs w:val="24"/>
          <w:lang w:val="de-DE"/>
        </w:rPr>
        <w:t>R4-2309721</w:t>
      </w:r>
    </w:p>
    <w:p w14:paraId="41669A5F" w14:textId="3B1B5C63" w:rsidR="00B916B9" w:rsidRPr="00DB3907" w:rsidRDefault="00E864EA" w:rsidP="00E864EA">
      <w:pPr>
        <w:pStyle w:val="Header"/>
        <w:rPr>
          <w:rFonts w:cs="Arial"/>
          <w:sz w:val="24"/>
          <w:szCs w:val="24"/>
        </w:rPr>
      </w:pPr>
      <w:r>
        <w:rPr>
          <w:rFonts w:cs="Arial"/>
          <w:sz w:val="24"/>
          <w:szCs w:val="24"/>
        </w:rPr>
        <w:t xml:space="preserve">Incheon, South Korea, </w:t>
      </w:r>
      <w:r w:rsidR="000D7C11">
        <w:rPr>
          <w:rFonts w:cs="Arial"/>
          <w:sz w:val="24"/>
          <w:szCs w:val="24"/>
        </w:rPr>
        <w:t>May</w:t>
      </w:r>
      <w:r w:rsidR="00B916B9">
        <w:rPr>
          <w:rFonts w:cs="Arial"/>
          <w:sz w:val="24"/>
          <w:szCs w:val="24"/>
        </w:rPr>
        <w:t xml:space="preserve"> </w:t>
      </w:r>
      <w:r>
        <w:rPr>
          <w:rFonts w:cs="Arial"/>
          <w:sz w:val="24"/>
          <w:szCs w:val="24"/>
        </w:rPr>
        <w:t>22</w:t>
      </w:r>
      <w:r w:rsidRPr="000D7C11">
        <w:rPr>
          <w:rFonts w:cs="Arial"/>
          <w:sz w:val="24"/>
          <w:szCs w:val="24"/>
          <w:vertAlign w:val="superscript"/>
        </w:rPr>
        <w:t>nd</w:t>
      </w:r>
      <w:r w:rsidR="000D7C11">
        <w:rPr>
          <w:rFonts w:cs="Arial"/>
          <w:sz w:val="24"/>
          <w:szCs w:val="24"/>
        </w:rPr>
        <w:t xml:space="preserve"> </w:t>
      </w:r>
      <w:r w:rsidR="00B916B9">
        <w:rPr>
          <w:rFonts w:cs="Arial"/>
          <w:sz w:val="24"/>
          <w:szCs w:val="24"/>
        </w:rPr>
        <w:t>‒ 26</w:t>
      </w:r>
      <w:r w:rsidR="00B916B9">
        <w:rPr>
          <w:rFonts w:cs="Arial"/>
          <w:sz w:val="24"/>
          <w:szCs w:val="24"/>
          <w:vertAlign w:val="superscript"/>
        </w:rPr>
        <w:t>th</w:t>
      </w:r>
      <w:r w:rsidR="00B916B9">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0EBF43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10301">
        <w:rPr>
          <w:rFonts w:ascii="Arial" w:hAnsi="Arial"/>
          <w:sz w:val="24"/>
          <w:lang w:val="en-US"/>
        </w:rPr>
        <w:t>9.5.</w:t>
      </w:r>
      <w:r w:rsidR="00BA340D">
        <w:rPr>
          <w:rFonts w:ascii="Arial" w:hAnsi="Arial"/>
          <w:sz w:val="24"/>
          <w:lang w:val="en-US"/>
        </w:rPr>
        <w:t>3</w:t>
      </w:r>
    </w:p>
    <w:p w14:paraId="1E1C2FD0" w14:textId="7212409C"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p>
    <w:p w14:paraId="2BA7EB09" w14:textId="473F3BED"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C7538">
        <w:rPr>
          <w:rFonts w:ascii="Arial" w:hAnsi="Arial"/>
          <w:sz w:val="24"/>
          <w:lang w:val="en-US"/>
        </w:rPr>
        <w:t>IoT NTN Extended L-band UE requirements</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E7913D2" w14:textId="5ACFDCD4"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68-1675 Mhz UL,</w:t>
      </w:r>
      <w:r>
        <w:t xml:space="preserve"> </w:t>
      </w:r>
      <w:r w:rsidR="00563C85">
        <w:t>focusing on</w:t>
      </w:r>
      <w:r>
        <w:t xml:space="preserve"> IoT NTN</w:t>
      </w:r>
      <w:r w:rsidR="00563C85">
        <w:t xml:space="preserve"> support (Cat M1 and Cat NB1, NB2)</w:t>
      </w:r>
      <w:r w:rsidR="00240083">
        <w:t xml:space="preserve"> [1]</w:t>
      </w:r>
      <w:r w:rsidR="007A0DB8">
        <w:t>.</w:t>
      </w:r>
    </w:p>
    <w:p w14:paraId="73578828" w14:textId="3117BAF5" w:rsidR="00B83793" w:rsidRDefault="00B83793" w:rsidP="009011AF">
      <w:r>
        <w:t>The need for potential discussion of additional UE blocking requirements was identified during discussion at RAN4#106-bis-e [2].</w:t>
      </w:r>
    </w:p>
    <w:p w14:paraId="10BC7887" w14:textId="36BD5207" w:rsidR="002D1392" w:rsidRDefault="002D1392" w:rsidP="009011AF">
      <w:r>
        <w:t xml:space="preserve">In this document, we wish to present some </w:t>
      </w:r>
      <w:r w:rsidR="00291A1D">
        <w:t>proposed UE RF requirements based on recommendations from</w:t>
      </w:r>
      <w:r w:rsidR="00864FFD">
        <w:t xml:space="preserve"> ECC Report 263</w:t>
      </w:r>
      <w:r w:rsidR="00D651C0">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3A80462B" w14:textId="598418AB" w:rsidR="00051698" w:rsidRDefault="00B178CA" w:rsidP="001703E5">
      <w:r>
        <w:t>Although t</w:t>
      </w:r>
      <w:r>
        <w:t>he initial focus of th</w:t>
      </w:r>
      <w:r>
        <w:t>e</w:t>
      </w:r>
      <w:r>
        <w:t xml:space="preserve"> New </w:t>
      </w:r>
      <w:r>
        <w:t xml:space="preserve">IoT NTN Extended L-band </w:t>
      </w:r>
      <w:r>
        <w:t xml:space="preserve">WID was </w:t>
      </w:r>
      <w:r>
        <w:t xml:space="preserve">proposed for </w:t>
      </w:r>
      <w:r>
        <w:t xml:space="preserve">Region 1 [1], with the intent of simplifying the work, </w:t>
      </w:r>
      <w:r>
        <w:t>in practice</w:t>
      </w:r>
      <w:r>
        <w:t xml:space="preserve"> the MSS Extended L-band generally has worldwide applicability, with some limited exceptions or specific considerations</w:t>
      </w:r>
      <w:r>
        <w:t>.  Therefore, a more general set of baseline assumptions for UE requirements needs to be established.</w:t>
      </w:r>
    </w:p>
    <w:p w14:paraId="3BB33F99" w14:textId="4079AC3B" w:rsidR="00F15E2E" w:rsidRPr="00AE522E" w:rsidRDefault="00F15E2E" w:rsidP="001703E5">
      <w:r>
        <w:rPr>
          <w:b/>
          <w:bCs/>
          <w:lang w:val="en-US"/>
        </w:rPr>
        <w:t xml:space="preserve">Observation 1: </w:t>
      </w:r>
      <w:r w:rsidRPr="00051698">
        <w:rPr>
          <w:b/>
          <w:bCs/>
          <w:lang w:val="en-US"/>
        </w:rPr>
        <w:t xml:space="preserve">Although the initial focus </w:t>
      </w:r>
      <w:r>
        <w:rPr>
          <w:b/>
          <w:bCs/>
          <w:lang w:val="en-US"/>
        </w:rPr>
        <w:t xml:space="preserve">proposed in the </w:t>
      </w:r>
      <w:r w:rsidRPr="00051698">
        <w:rPr>
          <w:b/>
          <w:bCs/>
          <w:lang w:val="en-US"/>
        </w:rPr>
        <w:t xml:space="preserve">WID was Region 1 [1], the MSS Extended L-band </w:t>
      </w:r>
      <w:r>
        <w:rPr>
          <w:b/>
          <w:bCs/>
          <w:lang w:val="en-US"/>
        </w:rPr>
        <w:t>broadly</w:t>
      </w:r>
      <w:r w:rsidRPr="00051698">
        <w:rPr>
          <w:b/>
          <w:bCs/>
          <w:lang w:val="en-US"/>
        </w:rPr>
        <w:t xml:space="preserve"> has worldwide applicability,</w:t>
      </w:r>
      <w:r>
        <w:rPr>
          <w:b/>
          <w:bCs/>
          <w:lang w:val="en-US"/>
        </w:rPr>
        <w:t xml:space="preserve"> with limited exceptions in specific countries.</w:t>
      </w:r>
    </w:p>
    <w:p w14:paraId="30737E7F" w14:textId="00B916BD" w:rsidR="00F15E2E" w:rsidRDefault="00AE522E" w:rsidP="001703E5">
      <w:pPr>
        <w:rPr>
          <w:lang w:val="en-US"/>
        </w:rPr>
      </w:pPr>
      <w:r>
        <w:rPr>
          <w:lang w:val="en-US"/>
        </w:rPr>
        <w:t>It can also be assumed that t</w:t>
      </w:r>
      <w:r w:rsidR="00933303">
        <w:rPr>
          <w:lang w:val="en-US"/>
        </w:rPr>
        <w:t xml:space="preserve">he TN-NTN coexistence assumptions </w:t>
      </w:r>
      <w:r>
        <w:rPr>
          <w:lang w:val="en-US"/>
        </w:rPr>
        <w:t xml:space="preserve">in TR 38.863 </w:t>
      </w:r>
      <w:r w:rsidR="00F15E2E">
        <w:rPr>
          <w:lang w:val="en-US"/>
        </w:rPr>
        <w:t>applicable for NTN bands 256 and 255 can also be considered valid for Extended L-band.  Therefore, the general set of requirements, including baseline blocking requirements from band 255 could be reused.</w:t>
      </w:r>
    </w:p>
    <w:p w14:paraId="2BFA0619" w14:textId="31AB8D15" w:rsidR="00B83793" w:rsidRDefault="004C0699" w:rsidP="001703E5">
      <w:pPr>
        <w:rPr>
          <w:lang w:val="en-US"/>
        </w:rPr>
      </w:pPr>
      <w:r>
        <w:rPr>
          <w:b/>
          <w:bCs/>
          <w:lang w:val="en-US"/>
        </w:rPr>
        <w:t xml:space="preserve">Proposal 1: </w:t>
      </w:r>
      <w:r>
        <w:rPr>
          <w:b/>
          <w:bCs/>
          <w:lang w:val="en-US"/>
        </w:rPr>
        <w:t>Given the applicability of the band beyond just Region 1, specify first a general set of UE requirements reusing IoT NTN band 255 core RF requirements as a baseline.  Any additional region- or country-specific can be specified on top of the general set of requirements.  This can include any additional UE receiver blocking requirements specific to ECC countries.</w:t>
      </w:r>
    </w:p>
    <w:p w14:paraId="283754EA" w14:textId="3E84E518" w:rsidR="004C0699" w:rsidRDefault="004C0699" w:rsidP="001703E5">
      <w:pPr>
        <w:rPr>
          <w:lang w:val="en-US"/>
        </w:rPr>
      </w:pPr>
    </w:p>
    <w:p w14:paraId="0B559C4B" w14:textId="04F7E856" w:rsidR="004C0699" w:rsidRDefault="004C0699" w:rsidP="001703E5">
      <w:pPr>
        <w:rPr>
          <w:lang w:val="en-US"/>
        </w:rPr>
      </w:pPr>
      <w:r>
        <w:rPr>
          <w:lang w:val="en-US"/>
        </w:rPr>
        <w:t xml:space="preserve">It should also be noted that general UE RF requirements for extended L-band </w:t>
      </w:r>
      <w:r w:rsidR="00932A8D">
        <w:rPr>
          <w:lang w:val="en-US"/>
        </w:rPr>
        <w:t>in the ECC/CEPT countries and other countries adopting ETSI requirements can be based on ETSI EN 301</w:t>
      </w:r>
      <w:r w:rsidR="003E74A7">
        <w:rPr>
          <w:lang w:val="en-US"/>
        </w:rPr>
        <w:t xml:space="preserve"> 68</w:t>
      </w:r>
      <w:r w:rsidR="000975A6">
        <w:rPr>
          <w:lang w:val="en-US"/>
        </w:rPr>
        <w:t>1</w:t>
      </w:r>
      <w:r w:rsidR="003E74A7">
        <w:rPr>
          <w:lang w:val="en-US"/>
        </w:rPr>
        <w:t xml:space="preserve"> [6].</w:t>
      </w:r>
    </w:p>
    <w:p w14:paraId="37E43B34" w14:textId="78146427" w:rsidR="000975A6" w:rsidRPr="000975A6" w:rsidRDefault="000975A6" w:rsidP="000975A6">
      <w:pPr>
        <w:rPr>
          <w:b/>
          <w:bCs/>
          <w:lang w:val="en-US"/>
        </w:rPr>
      </w:pPr>
      <w:r>
        <w:rPr>
          <w:b/>
          <w:bCs/>
          <w:lang w:val="en-US"/>
        </w:rPr>
        <w:t xml:space="preserve">Proposal 2: </w:t>
      </w:r>
      <w:r w:rsidRPr="000975A6">
        <w:rPr>
          <w:b/>
          <w:bCs/>
          <w:lang w:val="en-US"/>
        </w:rPr>
        <w:t>Consider additional UE requirements for ECC countries and any other applicable countries based on ETSI EN 301 681.</w:t>
      </w:r>
      <w:r w:rsidRPr="000975A6">
        <w:rPr>
          <w:b/>
          <w:bCs/>
          <w:lang w:val="en-US"/>
        </w:rPr>
        <w:br/>
      </w:r>
    </w:p>
    <w:p w14:paraId="66BB190C" w14:textId="6DC16E52" w:rsidR="0002725B" w:rsidRDefault="0002725B" w:rsidP="001703E5">
      <w:pPr>
        <w:rPr>
          <w:lang w:val="en-US"/>
        </w:rPr>
      </w:pPr>
      <w:r>
        <w:rPr>
          <w:lang w:val="en-US"/>
        </w:rPr>
        <w:t>ECC Report 299</w:t>
      </w:r>
      <w:r w:rsidR="00CF14BC">
        <w:rPr>
          <w:lang w:val="en-US"/>
        </w:rPr>
        <w:t>, also confirms the identification of additional blocking requirements for MSS receivers</w:t>
      </w:r>
      <w:r w:rsidR="00291A1D">
        <w:rPr>
          <w:lang w:val="en-US"/>
        </w:rPr>
        <w:t xml:space="preserve"> at least at 1520 MHz</w:t>
      </w:r>
      <w:r>
        <w:rPr>
          <w:lang w:val="en-US"/>
        </w:rPr>
        <w:t>:</w:t>
      </w:r>
    </w:p>
    <w:p w14:paraId="6ACAE36E" w14:textId="253ABA80" w:rsidR="00CF14BC" w:rsidRDefault="00CF14BC" w:rsidP="00CF14BC">
      <w:pPr>
        <w:jc w:val="center"/>
        <w:rPr>
          <w:lang w:val="en-US"/>
        </w:rPr>
      </w:pPr>
      <w:r>
        <w:rPr>
          <w:noProof/>
        </w:rPr>
        <w:drawing>
          <wp:inline distT="0" distB="0" distL="0" distR="0" wp14:anchorId="591177DF" wp14:editId="527EA45F">
            <wp:extent cx="4807585" cy="763243"/>
            <wp:effectExtent l="38100" t="38100" r="88265" b="94615"/>
            <wp:docPr id="9" name="Picture 9" descr="A picture containing text, font, screenshot,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font, screenshot, information&#10;&#10;Description automatically generated"/>
                    <pic:cNvPicPr/>
                  </pic:nvPicPr>
                  <pic:blipFill>
                    <a:blip r:embed="rId11"/>
                    <a:stretch>
                      <a:fillRect/>
                    </a:stretch>
                  </pic:blipFill>
                  <pic:spPr>
                    <a:xfrm>
                      <a:off x="0" y="0"/>
                      <a:ext cx="4830405" cy="766866"/>
                    </a:xfrm>
                    <a:prstGeom prst="rect">
                      <a:avLst/>
                    </a:prstGeom>
                    <a:effectLst>
                      <a:outerShdw blurRad="50800" dist="38100" dir="2700000" algn="tl" rotWithShape="0">
                        <a:prstClr val="black">
                          <a:alpha val="40000"/>
                        </a:prstClr>
                      </a:outerShdw>
                    </a:effectLst>
                  </pic:spPr>
                </pic:pic>
              </a:graphicData>
            </a:graphic>
          </wp:inline>
        </w:drawing>
      </w:r>
    </w:p>
    <w:p w14:paraId="252C236A" w14:textId="4AE6921A" w:rsidR="000C25FB" w:rsidRDefault="000C25FB" w:rsidP="001703E5">
      <w:pPr>
        <w:rPr>
          <w:lang w:val="en-US"/>
        </w:rPr>
      </w:pPr>
      <w:r>
        <w:rPr>
          <w:lang w:val="en-US"/>
        </w:rPr>
        <w:lastRenderedPageBreak/>
        <w:t xml:space="preserve">ECC Report 263 </w:t>
      </w:r>
      <w:r w:rsidR="00646F9E">
        <w:rPr>
          <w:lang w:val="en-US"/>
        </w:rPr>
        <w:t>stipulates a number of possible measures to improve coexistence between IMT and MSS systems</w:t>
      </w:r>
      <w:r w:rsidR="00291A1D">
        <w:rPr>
          <w:lang w:val="en-US"/>
        </w:rPr>
        <w:t xml:space="preserve">, including the introduction of additional </w:t>
      </w:r>
      <w:r w:rsidR="00AA0118">
        <w:rPr>
          <w:lang w:val="en-US"/>
        </w:rPr>
        <w:t>receiver blocking requirements for the MSS UE near the band edge</w:t>
      </w:r>
      <w:r w:rsidR="00646F9E">
        <w:rPr>
          <w:lang w:val="en-US"/>
        </w:rPr>
        <w:t>:</w:t>
      </w:r>
    </w:p>
    <w:p w14:paraId="4EEAAD03" w14:textId="629F6B97" w:rsidR="00646F9E" w:rsidRDefault="00BA52C3" w:rsidP="00041B57">
      <w:pPr>
        <w:jc w:val="center"/>
        <w:rPr>
          <w:lang w:val="en-US"/>
        </w:rPr>
      </w:pPr>
      <w:r>
        <w:rPr>
          <w:noProof/>
        </w:rPr>
        <w:drawing>
          <wp:inline distT="0" distB="0" distL="0" distR="0" wp14:anchorId="18EF7220" wp14:editId="0AE74F7A">
            <wp:extent cx="4989756" cy="1317511"/>
            <wp:effectExtent l="38100" t="38100" r="97155" b="92710"/>
            <wp:docPr id="13" name="Picture 13"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font, screenshot, document&#10;&#10;Description automatically generated"/>
                    <pic:cNvPicPr/>
                  </pic:nvPicPr>
                  <pic:blipFill>
                    <a:blip r:embed="rId12"/>
                    <a:stretch>
                      <a:fillRect/>
                    </a:stretch>
                  </pic:blipFill>
                  <pic:spPr>
                    <a:xfrm>
                      <a:off x="0" y="0"/>
                      <a:ext cx="5008404" cy="1322435"/>
                    </a:xfrm>
                    <a:prstGeom prst="rect">
                      <a:avLst/>
                    </a:prstGeom>
                    <a:effectLst>
                      <a:outerShdw blurRad="50800" dist="38100" dir="2700000" algn="tl" rotWithShape="0">
                        <a:prstClr val="black">
                          <a:alpha val="40000"/>
                        </a:prstClr>
                      </a:outerShdw>
                    </a:effectLst>
                  </pic:spPr>
                </pic:pic>
              </a:graphicData>
            </a:graphic>
          </wp:inline>
        </w:drawing>
      </w:r>
    </w:p>
    <w:p w14:paraId="47D07200" w14:textId="1D6F143F" w:rsidR="0023187B" w:rsidRDefault="0023187B" w:rsidP="001703E5">
      <w:pPr>
        <w:rPr>
          <w:lang w:val="en-US"/>
        </w:rPr>
      </w:pPr>
      <w:r>
        <w:rPr>
          <w:lang w:val="en-US"/>
        </w:rPr>
        <w:t>Specifically, ECC Report 263 recommends:</w:t>
      </w:r>
    </w:p>
    <w:p w14:paraId="496876AD" w14:textId="7D47F47C" w:rsidR="0023187B" w:rsidRDefault="0023187B" w:rsidP="0023187B">
      <w:pPr>
        <w:jc w:val="center"/>
        <w:rPr>
          <w:lang w:val="en-US"/>
        </w:rPr>
      </w:pPr>
      <w:r>
        <w:rPr>
          <w:noProof/>
        </w:rPr>
        <w:drawing>
          <wp:inline distT="0" distB="0" distL="0" distR="0" wp14:anchorId="4C7B3D72" wp14:editId="3909B434">
            <wp:extent cx="5315585" cy="449818"/>
            <wp:effectExtent l="38100" t="38100" r="94615" b="1028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7172" cy="450799"/>
                    </a:xfrm>
                    <a:prstGeom prst="rect">
                      <a:avLst/>
                    </a:prstGeom>
                    <a:effectLst>
                      <a:outerShdw blurRad="50800" dist="38100" dir="2700000" algn="tl" rotWithShape="0">
                        <a:prstClr val="black">
                          <a:alpha val="40000"/>
                        </a:prstClr>
                      </a:outerShdw>
                    </a:effectLst>
                  </pic:spPr>
                </pic:pic>
              </a:graphicData>
            </a:graphic>
          </wp:inline>
        </w:drawing>
      </w:r>
    </w:p>
    <w:p w14:paraId="7A3242B1" w14:textId="73DE77DF" w:rsidR="004C0699" w:rsidRDefault="004C0699" w:rsidP="001703E5">
      <w:pPr>
        <w:rPr>
          <w:lang w:val="en-US"/>
        </w:rPr>
      </w:pPr>
      <w:r>
        <w:rPr>
          <w:b/>
          <w:bCs/>
          <w:lang w:val="en-US"/>
        </w:rPr>
        <w:t xml:space="preserve">Observation 2: </w:t>
      </w:r>
      <w:r>
        <w:rPr>
          <w:b/>
          <w:bCs/>
          <w:lang w:val="en-US"/>
        </w:rPr>
        <w:t>ECC Reports 263 and 299 identify the benefit of specifying additional receiver blocking requirements in the MSS UE to further protect from blocking signals from terrestrial base stations in adjacent band.</w:t>
      </w:r>
      <w:r>
        <w:rPr>
          <w:b/>
          <w:bCs/>
          <w:lang w:val="en-US"/>
        </w:rPr>
        <w:br/>
      </w:r>
    </w:p>
    <w:p w14:paraId="61DB5E7C" w14:textId="67F481B2" w:rsidR="000975A6" w:rsidRDefault="000975A6" w:rsidP="000975A6">
      <w:pPr>
        <w:rPr>
          <w:lang w:val="en-US"/>
        </w:rPr>
      </w:pPr>
      <w:r>
        <w:rPr>
          <w:b/>
          <w:bCs/>
          <w:lang w:val="en-US"/>
        </w:rPr>
        <w:t xml:space="preserve">Proposal 3: </w:t>
      </w:r>
      <w:r>
        <w:rPr>
          <w:b/>
          <w:bCs/>
          <w:lang w:val="en-US"/>
        </w:rPr>
        <w:t>Consider specifying additional UE receiver blocking requirements specific in line with ECC recommendation 263.</w:t>
      </w:r>
    </w:p>
    <w:p w14:paraId="1DBE3E14" w14:textId="77777777" w:rsidR="004C0699" w:rsidRDefault="004C0699" w:rsidP="001703E5">
      <w:pPr>
        <w:rPr>
          <w:lang w:val="en-US"/>
        </w:rPr>
      </w:pPr>
    </w:p>
    <w:p w14:paraId="2A388E44" w14:textId="75356DB2" w:rsidR="00615057" w:rsidRDefault="00AD0FA5" w:rsidP="001703E5">
      <w:pPr>
        <w:rPr>
          <w:lang w:val="en-US"/>
        </w:rPr>
      </w:pPr>
      <w:r>
        <w:rPr>
          <w:lang w:val="en-US"/>
        </w:rPr>
        <w:t>It could also be</w:t>
      </w:r>
      <w:r w:rsidR="00615057">
        <w:rPr>
          <w:lang w:val="en-US"/>
        </w:rPr>
        <w:t xml:space="preserve"> beneficial to be able to </w:t>
      </w:r>
      <w:r>
        <w:rPr>
          <w:lang w:val="en-US"/>
        </w:rPr>
        <w:t>signal</w:t>
      </w:r>
      <w:r w:rsidR="00DE7F89">
        <w:rPr>
          <w:lang w:val="en-US"/>
        </w:rPr>
        <w:t xml:space="preserve"> to</w:t>
      </w:r>
      <w:r>
        <w:rPr>
          <w:lang w:val="en-US"/>
        </w:rPr>
        <w:t xml:space="preserve"> </w:t>
      </w:r>
      <w:r w:rsidR="00615057">
        <w:rPr>
          <w:lang w:val="en-US"/>
        </w:rPr>
        <w:t>the UE</w:t>
      </w:r>
      <w:r w:rsidR="00DE7F89">
        <w:rPr>
          <w:lang w:val="en-US"/>
        </w:rPr>
        <w:t xml:space="preserve"> the applicability of additional blocking requirements,</w:t>
      </w:r>
      <w:r w:rsidR="00615057">
        <w:rPr>
          <w:lang w:val="en-US"/>
        </w:rPr>
        <w:t xml:space="preserve"> in certain cells,</w:t>
      </w:r>
      <w:r w:rsidR="00DE7F89">
        <w:rPr>
          <w:lang w:val="en-US"/>
        </w:rPr>
        <w:t xml:space="preserve"> if, when and </w:t>
      </w:r>
      <w:r w:rsidR="00615057">
        <w:rPr>
          <w:lang w:val="en-US"/>
        </w:rPr>
        <w:t>where additional requirements may apply</w:t>
      </w:r>
    </w:p>
    <w:p w14:paraId="05B3E1CC" w14:textId="3D7859C5" w:rsidR="000C25FB" w:rsidRDefault="00041B57" w:rsidP="001703E5">
      <w:pPr>
        <w:rPr>
          <w:lang w:val="en-US"/>
        </w:rPr>
      </w:pPr>
      <w:r>
        <w:rPr>
          <w:b/>
          <w:bCs/>
          <w:lang w:val="en-US"/>
        </w:rPr>
        <w:t xml:space="preserve">Proposal </w:t>
      </w:r>
      <w:r w:rsidR="000975A6">
        <w:rPr>
          <w:b/>
          <w:bCs/>
          <w:lang w:val="en-US"/>
        </w:rPr>
        <w:t>4</w:t>
      </w:r>
      <w:r>
        <w:rPr>
          <w:b/>
          <w:bCs/>
          <w:lang w:val="en-US"/>
        </w:rPr>
        <w:t>: Specify additional optional NS values to allow NTN operators to specify additional blocking requirements if, when and where needed, on a per-deployment basis.  Different NS values can be later on specified on a country by country basis to address regional or country-specific requirements.</w:t>
      </w: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5FCB70AC" w14:textId="0C80B716" w:rsidR="00155346" w:rsidRPr="00155346" w:rsidRDefault="00155346" w:rsidP="00ED643D">
      <w:pPr>
        <w:rPr>
          <w:lang w:val="en-US"/>
        </w:rPr>
      </w:pPr>
      <w:r>
        <w:rPr>
          <w:lang w:val="en-US"/>
        </w:rPr>
        <w:t xml:space="preserve">In this paper we discuss </w:t>
      </w:r>
      <w:r w:rsidR="00DE7F89">
        <w:rPr>
          <w:lang w:val="en-US"/>
        </w:rPr>
        <w:t>additional UE receiver blocking requirements</w:t>
      </w:r>
      <w:r w:rsidR="00693D20">
        <w:rPr>
          <w:lang w:val="en-US"/>
        </w:rPr>
        <w:t xml:space="preserve"> applicable to the Extended L-band:</w:t>
      </w:r>
    </w:p>
    <w:p w14:paraId="12D62747" w14:textId="617D1A88" w:rsidR="00051698" w:rsidRDefault="00051698" w:rsidP="002126C8">
      <w:pPr>
        <w:pStyle w:val="ListParagraph"/>
        <w:numPr>
          <w:ilvl w:val="0"/>
          <w:numId w:val="17"/>
        </w:numPr>
        <w:rPr>
          <w:b/>
          <w:bCs/>
          <w:lang w:val="en-US"/>
        </w:rPr>
      </w:pPr>
      <w:r w:rsidRPr="00051698">
        <w:rPr>
          <w:b/>
          <w:bCs/>
          <w:lang w:val="en-US"/>
        </w:rPr>
        <w:t xml:space="preserve">Although the initial focus </w:t>
      </w:r>
      <w:r>
        <w:rPr>
          <w:b/>
          <w:bCs/>
          <w:lang w:val="en-US"/>
        </w:rPr>
        <w:t xml:space="preserve">proposed in the </w:t>
      </w:r>
      <w:r w:rsidRPr="00051698">
        <w:rPr>
          <w:b/>
          <w:bCs/>
          <w:lang w:val="en-US"/>
        </w:rPr>
        <w:t xml:space="preserve">WID was Region 1 [1], the MSS Extended L-band </w:t>
      </w:r>
      <w:r>
        <w:rPr>
          <w:b/>
          <w:bCs/>
          <w:lang w:val="en-US"/>
        </w:rPr>
        <w:t>broadly</w:t>
      </w:r>
      <w:r w:rsidRPr="00051698">
        <w:rPr>
          <w:b/>
          <w:bCs/>
          <w:lang w:val="en-US"/>
        </w:rPr>
        <w:t xml:space="preserve"> has worldwide applicability,</w:t>
      </w:r>
      <w:r>
        <w:rPr>
          <w:b/>
          <w:bCs/>
          <w:lang w:val="en-US"/>
        </w:rPr>
        <w:t xml:space="preserve"> with limited exceptions in specific countries.</w:t>
      </w:r>
      <w:r>
        <w:rPr>
          <w:b/>
          <w:bCs/>
          <w:lang w:val="en-US"/>
        </w:rPr>
        <w:br/>
      </w:r>
    </w:p>
    <w:p w14:paraId="2F43013C" w14:textId="45B383DA" w:rsidR="0060748A" w:rsidRPr="00DE7F89" w:rsidRDefault="00DE7F89" w:rsidP="002126C8">
      <w:pPr>
        <w:pStyle w:val="ListParagraph"/>
        <w:numPr>
          <w:ilvl w:val="0"/>
          <w:numId w:val="17"/>
        </w:numPr>
        <w:rPr>
          <w:b/>
          <w:bCs/>
          <w:lang w:val="en-US"/>
        </w:rPr>
      </w:pPr>
      <w:r>
        <w:rPr>
          <w:b/>
          <w:bCs/>
          <w:lang w:val="en-US"/>
        </w:rPr>
        <w:t>ECC Reports 263 and 299 identify the benefit of specifying additional receiver blocking requirements in the MSS UE to further protect from blocking signals from terrestrial base stations in adjacent band.</w:t>
      </w:r>
      <w:r w:rsidR="00030C97">
        <w:rPr>
          <w:b/>
          <w:bCs/>
          <w:lang w:val="en-US"/>
        </w:rPr>
        <w:br/>
      </w:r>
      <w:r w:rsidR="0060748A" w:rsidRPr="00DE7F89">
        <w:rPr>
          <w:b/>
          <w:bCs/>
          <w:lang w:val="en-US"/>
        </w:rPr>
        <w:br/>
      </w:r>
    </w:p>
    <w:p w14:paraId="592A3FCC" w14:textId="0E48C371" w:rsidR="006D0FDA" w:rsidRDefault="00765B49" w:rsidP="00831F95">
      <w:pPr>
        <w:pStyle w:val="ListParagraph"/>
        <w:numPr>
          <w:ilvl w:val="0"/>
          <w:numId w:val="18"/>
        </w:numPr>
        <w:rPr>
          <w:b/>
          <w:bCs/>
          <w:lang w:val="en-US"/>
        </w:rPr>
      </w:pPr>
      <w:r>
        <w:rPr>
          <w:b/>
          <w:bCs/>
          <w:lang w:val="en-US"/>
        </w:rPr>
        <w:t xml:space="preserve">Given the applicability of the band beyond </w:t>
      </w:r>
      <w:r w:rsidR="00BA746F">
        <w:rPr>
          <w:b/>
          <w:bCs/>
          <w:lang w:val="en-US"/>
        </w:rPr>
        <w:t xml:space="preserve">just </w:t>
      </w:r>
      <w:r>
        <w:rPr>
          <w:b/>
          <w:bCs/>
          <w:lang w:val="en-US"/>
        </w:rPr>
        <w:t>Region 1, s</w:t>
      </w:r>
      <w:r w:rsidR="00051698">
        <w:rPr>
          <w:b/>
          <w:bCs/>
          <w:lang w:val="en-US"/>
        </w:rPr>
        <w:t>pecify</w:t>
      </w:r>
      <w:r w:rsidR="00BA746F">
        <w:rPr>
          <w:b/>
          <w:bCs/>
          <w:lang w:val="en-US"/>
        </w:rPr>
        <w:t xml:space="preserve"> first</w:t>
      </w:r>
      <w:r w:rsidR="00051698">
        <w:rPr>
          <w:b/>
          <w:bCs/>
          <w:lang w:val="en-US"/>
        </w:rPr>
        <w:t xml:space="preserve"> a general set of</w:t>
      </w:r>
      <w:r w:rsidR="008701C4">
        <w:rPr>
          <w:b/>
          <w:bCs/>
          <w:lang w:val="en-US"/>
        </w:rPr>
        <w:t xml:space="preserve"> </w:t>
      </w:r>
      <w:r w:rsidR="00CD20E2">
        <w:rPr>
          <w:b/>
          <w:bCs/>
          <w:lang w:val="en-US"/>
        </w:rPr>
        <w:t xml:space="preserve">UE </w:t>
      </w:r>
      <w:r w:rsidR="00051698">
        <w:rPr>
          <w:b/>
          <w:bCs/>
          <w:lang w:val="en-US"/>
        </w:rPr>
        <w:t>requirements</w:t>
      </w:r>
      <w:r w:rsidR="008701C4">
        <w:rPr>
          <w:b/>
          <w:bCs/>
          <w:lang w:val="en-US"/>
        </w:rPr>
        <w:t xml:space="preserve"> </w:t>
      </w:r>
      <w:r w:rsidR="00CD20E2">
        <w:rPr>
          <w:b/>
          <w:bCs/>
          <w:lang w:val="en-US"/>
        </w:rPr>
        <w:t>reusing IoT NTN band 255 core</w:t>
      </w:r>
      <w:r w:rsidR="008701C4">
        <w:rPr>
          <w:b/>
          <w:bCs/>
          <w:lang w:val="en-US"/>
        </w:rPr>
        <w:t xml:space="preserve"> RF requirements </w:t>
      </w:r>
      <w:r w:rsidR="00CD20E2">
        <w:rPr>
          <w:b/>
          <w:bCs/>
          <w:lang w:val="en-US"/>
        </w:rPr>
        <w:t>as a baseline</w:t>
      </w:r>
      <w:r w:rsidR="008701C4">
        <w:rPr>
          <w:b/>
          <w:bCs/>
          <w:lang w:val="en-US"/>
        </w:rPr>
        <w:t>.</w:t>
      </w:r>
      <w:r w:rsidR="00CD20E2">
        <w:rPr>
          <w:b/>
          <w:bCs/>
          <w:lang w:val="en-US"/>
        </w:rPr>
        <w:t xml:space="preserve">  Any additional region</w:t>
      </w:r>
      <w:r>
        <w:rPr>
          <w:b/>
          <w:bCs/>
          <w:lang w:val="en-US"/>
        </w:rPr>
        <w:t>-</w:t>
      </w:r>
      <w:r w:rsidR="00CD20E2">
        <w:rPr>
          <w:b/>
          <w:bCs/>
          <w:lang w:val="en-US"/>
        </w:rPr>
        <w:t xml:space="preserve"> or country-specific can be specified </w:t>
      </w:r>
      <w:r>
        <w:rPr>
          <w:b/>
          <w:bCs/>
          <w:lang w:val="en-US"/>
        </w:rPr>
        <w:t xml:space="preserve">on top of the general set of requirements.  This can include any additional </w:t>
      </w:r>
      <w:r w:rsidR="006D0FDA">
        <w:rPr>
          <w:b/>
          <w:bCs/>
          <w:lang w:val="en-US"/>
        </w:rPr>
        <w:t>UE receiver blocking requirements specific to ECC countries.</w:t>
      </w:r>
      <w:r w:rsidR="006D0FDA">
        <w:rPr>
          <w:b/>
          <w:bCs/>
          <w:lang w:val="en-US"/>
        </w:rPr>
        <w:br/>
      </w:r>
    </w:p>
    <w:p w14:paraId="3BEFE0F4" w14:textId="35142D94" w:rsidR="006D0FDA" w:rsidRDefault="006D0FDA" w:rsidP="00831F95">
      <w:pPr>
        <w:pStyle w:val="ListParagraph"/>
        <w:numPr>
          <w:ilvl w:val="0"/>
          <w:numId w:val="18"/>
        </w:numPr>
        <w:rPr>
          <w:b/>
          <w:bCs/>
          <w:lang w:val="en-US"/>
        </w:rPr>
      </w:pPr>
      <w:r>
        <w:rPr>
          <w:b/>
          <w:bCs/>
          <w:lang w:val="en-US"/>
        </w:rPr>
        <w:t xml:space="preserve">Consider </w:t>
      </w:r>
      <w:r w:rsidR="00BA746F">
        <w:rPr>
          <w:b/>
          <w:bCs/>
          <w:lang w:val="en-US"/>
        </w:rPr>
        <w:t>additional UE requirements for ECC countries and any other applicable countries based on ETSI EN 301 681.</w:t>
      </w:r>
      <w:r w:rsidR="00BA746F">
        <w:rPr>
          <w:b/>
          <w:bCs/>
          <w:lang w:val="en-US"/>
        </w:rPr>
        <w:br/>
      </w:r>
    </w:p>
    <w:p w14:paraId="6AC78ECE" w14:textId="1ABACEF0" w:rsidR="00DE7F89" w:rsidRDefault="006D0FDA" w:rsidP="00831F95">
      <w:pPr>
        <w:pStyle w:val="ListParagraph"/>
        <w:numPr>
          <w:ilvl w:val="0"/>
          <w:numId w:val="18"/>
        </w:numPr>
        <w:rPr>
          <w:b/>
          <w:bCs/>
          <w:lang w:val="en-US"/>
        </w:rPr>
      </w:pPr>
      <w:r>
        <w:rPr>
          <w:b/>
          <w:bCs/>
          <w:lang w:val="en-US"/>
        </w:rPr>
        <w:t>Consider specifying additional UE receiver blocking requirements specific in line with ECC recommendation</w:t>
      </w:r>
      <w:r w:rsidR="00BA746F">
        <w:rPr>
          <w:b/>
          <w:bCs/>
          <w:lang w:val="en-US"/>
        </w:rPr>
        <w:t xml:space="preserve"> 263</w:t>
      </w:r>
      <w:r>
        <w:rPr>
          <w:b/>
          <w:bCs/>
          <w:lang w:val="en-US"/>
        </w:rPr>
        <w:t>.</w:t>
      </w:r>
      <w:r w:rsidR="00DE7F89">
        <w:rPr>
          <w:b/>
          <w:bCs/>
          <w:lang w:val="en-US"/>
        </w:rPr>
        <w:br/>
      </w:r>
    </w:p>
    <w:p w14:paraId="1A7C36B8" w14:textId="506FC439" w:rsidR="000523C3" w:rsidRPr="00831F95" w:rsidRDefault="005A3169" w:rsidP="00831F95">
      <w:pPr>
        <w:pStyle w:val="ListParagraph"/>
        <w:numPr>
          <w:ilvl w:val="0"/>
          <w:numId w:val="18"/>
        </w:numPr>
        <w:rPr>
          <w:b/>
          <w:bCs/>
          <w:lang w:val="en-US"/>
        </w:rPr>
      </w:pPr>
      <w:r>
        <w:rPr>
          <w:b/>
          <w:bCs/>
          <w:lang w:val="en-US"/>
        </w:rPr>
        <w:lastRenderedPageBreak/>
        <w:t xml:space="preserve">Specify </w:t>
      </w:r>
      <w:r w:rsidR="00831F95">
        <w:rPr>
          <w:b/>
          <w:bCs/>
          <w:lang w:val="en-US"/>
        </w:rPr>
        <w:t>additional optional NS values to allow NTN operators to specify additional blocking requirements if</w:t>
      </w:r>
      <w:r w:rsidR="00856163">
        <w:rPr>
          <w:b/>
          <w:bCs/>
          <w:lang w:val="en-US"/>
        </w:rPr>
        <w:t>, when and where needed, on a per-deployment basis.  Different NS values can be later on specified on a country by country basis to address regional or country-specific requirements.</w:t>
      </w:r>
      <w:r w:rsidR="0060748A" w:rsidRPr="00831F95">
        <w:rPr>
          <w:b/>
          <w:bCs/>
          <w:lang w:val="en-US"/>
        </w:rPr>
        <w:br/>
      </w:r>
    </w:p>
    <w:p w14:paraId="48A10AA4" w14:textId="77777777" w:rsidR="00E204DF" w:rsidRPr="00271629" w:rsidRDefault="00E204DF" w:rsidP="00ED643D">
      <w:pPr>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0" w:name="_Hlk859252"/>
      <w:r w:rsidRPr="00194F94">
        <w:rPr>
          <w:lang w:val="en-US" w:eastAsia="x-none"/>
        </w:rPr>
        <w:t>RP-230790, “New WID on Introduction of the Extended L-band (UL 1668-1675, DL 1518-1525) for IoT NTN,” Inmarsat</w:t>
      </w:r>
      <w:bookmarkEnd w:id="0"/>
    </w:p>
    <w:p w14:paraId="52120C64" w14:textId="2926BE2E" w:rsidR="00BA37D9" w:rsidRDefault="00FE2CF1" w:rsidP="001F2D1F">
      <w:pPr>
        <w:numPr>
          <w:ilvl w:val="0"/>
          <w:numId w:val="16"/>
        </w:numPr>
        <w:tabs>
          <w:tab w:val="num" w:pos="720"/>
          <w:tab w:val="left" w:pos="1080"/>
        </w:tabs>
        <w:rPr>
          <w:lang w:val="en-US" w:eastAsia="x-none"/>
        </w:rPr>
      </w:pPr>
      <w:r w:rsidRPr="00FE2CF1">
        <w:rPr>
          <w:lang w:val="en-US" w:eastAsia="x-none"/>
        </w:rPr>
        <w:t>R4-2306658</w:t>
      </w:r>
      <w:r>
        <w:rPr>
          <w:lang w:val="en-US" w:eastAsia="x-none"/>
        </w:rPr>
        <w:t xml:space="preserve">, </w:t>
      </w:r>
      <w:r w:rsidR="00CF3C34">
        <w:rPr>
          <w:lang w:val="en-US" w:eastAsia="x-none"/>
        </w:rPr>
        <w:t>“</w:t>
      </w:r>
      <w:r w:rsidR="00CF3C34" w:rsidRPr="00CF3C34">
        <w:rPr>
          <w:lang w:val="en-US" w:eastAsia="x-none"/>
        </w:rPr>
        <w:t>WF on IoT NTN Extended L-band</w:t>
      </w:r>
      <w:r w:rsidR="00CF3C34">
        <w:rPr>
          <w:lang w:val="en-US" w:eastAsia="x-none"/>
        </w:rPr>
        <w:t xml:space="preserve">”, </w:t>
      </w:r>
      <w:r w:rsidR="00715333" w:rsidRPr="00715333">
        <w:rPr>
          <w:lang w:val="en-US" w:eastAsia="x-none"/>
        </w:rPr>
        <w:t>Inmarsat</w:t>
      </w:r>
    </w:p>
    <w:p w14:paraId="009ED8A6" w14:textId="62D90559" w:rsidR="00194F94" w:rsidRDefault="00194F94" w:rsidP="001F2D1F">
      <w:pPr>
        <w:numPr>
          <w:ilvl w:val="0"/>
          <w:numId w:val="16"/>
        </w:numPr>
        <w:tabs>
          <w:tab w:val="num" w:pos="720"/>
          <w:tab w:val="left" w:pos="1080"/>
        </w:tabs>
        <w:rPr>
          <w:lang w:val="en-US" w:eastAsia="x-none"/>
        </w:rPr>
      </w:pPr>
      <w:r w:rsidRPr="00194F94">
        <w:rPr>
          <w:lang w:val="en-US" w:eastAsia="x-none"/>
        </w:rPr>
        <w:t xml:space="preserve">ECC Report 263, “Adjacent band compatibility studies between IMT operating in the frequency band 1492-1518 MHz and the MSS operating in the frequency band 1518-1552 MHz,” Approved 03 March 2017. </w:t>
      </w:r>
    </w:p>
    <w:p w14:paraId="3AAF236A" w14:textId="2AFA4B0C" w:rsidR="00CF14BC" w:rsidRPr="003D4F1F" w:rsidRDefault="00CF14BC" w:rsidP="003D4F1F">
      <w:pPr>
        <w:pStyle w:val="ListParagraph"/>
        <w:numPr>
          <w:ilvl w:val="0"/>
          <w:numId w:val="16"/>
        </w:numPr>
        <w:rPr>
          <w:lang w:val="en-US"/>
        </w:rPr>
      </w:pPr>
      <w:r w:rsidRPr="00CF14BC">
        <w:rPr>
          <w:lang w:val="en-US"/>
        </w:rPr>
        <w:t>ECC Report 299</w:t>
      </w:r>
      <w:r>
        <w:rPr>
          <w:lang w:val="en-US"/>
        </w:rPr>
        <w:t xml:space="preserve">, </w:t>
      </w:r>
      <w:r w:rsidR="00BA1641">
        <w:rPr>
          <w:lang w:val="en-US"/>
        </w:rPr>
        <w:t>“</w:t>
      </w:r>
      <w:r w:rsidR="003D4F1F" w:rsidRPr="003D4F1F">
        <w:rPr>
          <w:lang w:val="en-US"/>
        </w:rPr>
        <w:t>Measures to address potential blocking of MES operating in bands adjacent to 1518 MHz (including 1525-1559 MHz) at seaports and airports</w:t>
      </w:r>
      <w:r w:rsidR="00BA1641">
        <w:rPr>
          <w:lang w:val="en-US"/>
        </w:rPr>
        <w:t xml:space="preserve">”, </w:t>
      </w:r>
      <w:r w:rsidR="00BA1641" w:rsidRPr="00BA1641">
        <w:rPr>
          <w:lang w:val="en-US"/>
        </w:rPr>
        <w:t>Approved 8 March 2019</w:t>
      </w:r>
      <w:r w:rsidR="00BA1641">
        <w:rPr>
          <w:lang w:val="en-US"/>
        </w:rPr>
        <w:t>.</w:t>
      </w:r>
    </w:p>
    <w:p w14:paraId="6CFEEE95" w14:textId="291B860F" w:rsidR="00715333" w:rsidRDefault="00715333" w:rsidP="00715333">
      <w:pPr>
        <w:numPr>
          <w:ilvl w:val="0"/>
          <w:numId w:val="16"/>
        </w:numPr>
        <w:tabs>
          <w:tab w:val="num" w:pos="720"/>
          <w:tab w:val="left" w:pos="1080"/>
        </w:tabs>
        <w:rPr>
          <w:lang w:val="en-US" w:eastAsia="x-none"/>
        </w:rPr>
      </w:pPr>
      <w:r w:rsidRPr="00194F94">
        <w:rPr>
          <w:lang w:val="en-US" w:eastAsia="x-none"/>
        </w:rPr>
        <w:t>3GPP TR 38.863; Solutions for NR to support non-terrestrial networks (NTN): Non-terrestrial networks (NTN) related RF and co-existence aspects (Release 17)</w:t>
      </w:r>
    </w:p>
    <w:p w14:paraId="1FF2B502" w14:textId="099F599F" w:rsidR="000975A6" w:rsidRPr="000975A6" w:rsidRDefault="000975A6" w:rsidP="000975A6">
      <w:pPr>
        <w:numPr>
          <w:ilvl w:val="0"/>
          <w:numId w:val="16"/>
        </w:numPr>
        <w:tabs>
          <w:tab w:val="left" w:pos="1080"/>
        </w:tabs>
        <w:rPr>
          <w:lang w:val="en-US" w:eastAsia="x-none"/>
        </w:rPr>
      </w:pPr>
      <w:r w:rsidRPr="000975A6">
        <w:rPr>
          <w:lang w:val="en-US" w:eastAsia="x-none"/>
        </w:rPr>
        <w:t>ETSI EN 301 681 V2.1.2 (2016-11)</w:t>
      </w:r>
      <w:r>
        <w:rPr>
          <w:lang w:val="en-US" w:eastAsia="x-none"/>
        </w:rPr>
        <w:t xml:space="preserve">; </w:t>
      </w:r>
      <w:r w:rsidRPr="000975A6">
        <w:rPr>
          <w:lang w:val="en-US" w:eastAsia="x-none"/>
        </w:rPr>
        <w:t>Satellite Earth Stations and Systems (SES);Harmonised Standard for Mobile Earth Stations (MES) of</w:t>
      </w:r>
      <w:r>
        <w:rPr>
          <w:lang w:val="en-US" w:eastAsia="x-none"/>
        </w:rPr>
        <w:t xml:space="preserve"> </w:t>
      </w:r>
      <w:r w:rsidRPr="000975A6">
        <w:rPr>
          <w:lang w:val="en-US" w:eastAsia="x-none"/>
        </w:rPr>
        <w:t>Geostationary mobile satellite systems, including handheld</w:t>
      </w:r>
      <w:r>
        <w:rPr>
          <w:lang w:val="en-US" w:eastAsia="x-none"/>
        </w:rPr>
        <w:t xml:space="preserve"> </w:t>
      </w:r>
      <w:r w:rsidRPr="000975A6">
        <w:rPr>
          <w:lang w:val="en-US" w:eastAsia="x-none"/>
        </w:rPr>
        <w:t>earth stations, for Satellite Personal Communications</w:t>
      </w:r>
      <w:r>
        <w:rPr>
          <w:lang w:val="en-US" w:eastAsia="x-none"/>
        </w:rPr>
        <w:t xml:space="preserve"> </w:t>
      </w:r>
      <w:r w:rsidRPr="000975A6">
        <w:rPr>
          <w:lang w:val="en-US" w:eastAsia="x-none"/>
        </w:rPr>
        <w:t>Networks (S-PCN) under the Mobile Satellite Service (MSS),</w:t>
      </w:r>
      <w:r>
        <w:rPr>
          <w:lang w:val="en-US" w:eastAsia="x-none"/>
        </w:rPr>
        <w:t xml:space="preserve"> </w:t>
      </w:r>
      <w:r w:rsidRPr="000975A6">
        <w:rPr>
          <w:lang w:val="en-US" w:eastAsia="x-none"/>
        </w:rPr>
        <w:t>operating in the 1,5 GHz and 1,6 GHz</w:t>
      </w:r>
      <w:r>
        <w:rPr>
          <w:lang w:val="en-US" w:eastAsia="x-none"/>
        </w:rPr>
        <w:t xml:space="preserve"> </w:t>
      </w:r>
      <w:r w:rsidRPr="000975A6">
        <w:rPr>
          <w:lang w:val="en-US" w:eastAsia="x-none"/>
        </w:rPr>
        <w:t>frequency bands covering the essential requirements</w:t>
      </w:r>
      <w:r>
        <w:rPr>
          <w:lang w:val="en-US" w:eastAsia="x-none"/>
        </w:rPr>
        <w:t xml:space="preserve"> </w:t>
      </w:r>
      <w:r w:rsidRPr="000975A6">
        <w:rPr>
          <w:lang w:val="en-US" w:eastAsia="x-none"/>
        </w:rPr>
        <w:t>of article 3.2 of the Directive 2014/53/EU</w:t>
      </w:r>
      <w:r>
        <w:rPr>
          <w:lang w:val="en-US" w:eastAsia="x-none"/>
        </w:rPr>
        <w:t>.</w:t>
      </w:r>
    </w:p>
    <w:p w14:paraId="5EED69D7" w14:textId="7AED673F" w:rsidR="00096587" w:rsidRDefault="00096587" w:rsidP="00194F94">
      <w:pPr>
        <w:tabs>
          <w:tab w:val="left" w:pos="1080"/>
        </w:tabs>
        <w:rPr>
          <w:lang w:val="en-US" w:eastAsia="x-none"/>
        </w:rPr>
      </w:pPr>
    </w:p>
    <w:sectPr w:rsidR="00096587" w:rsidSect="00521ED0">
      <w:footerReference w:type="even" r:id="rId14"/>
      <w:footerReference w:type="defaul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7B6C" w14:textId="77777777" w:rsidR="00A21D13" w:rsidRDefault="00A21D13">
      <w:r>
        <w:separator/>
      </w:r>
    </w:p>
  </w:endnote>
  <w:endnote w:type="continuationSeparator" w:id="0">
    <w:p w14:paraId="5D275C1F" w14:textId="77777777" w:rsidR="00A21D13" w:rsidRDefault="00A21D13">
      <w:r>
        <w:continuationSeparator/>
      </w:r>
    </w:p>
  </w:endnote>
  <w:endnote w:type="continuationNotice" w:id="1">
    <w:p w14:paraId="64A541BD" w14:textId="77777777" w:rsidR="00A21D13" w:rsidRDefault="00A2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1EDB7995" w:rsidR="00960E3B" w:rsidRDefault="004F7ABE">
    <w:pPr>
      <w:pStyle w:val="Footer"/>
      <w:ind w:right="360"/>
    </w:pPr>
    <w:r>
      <mc:AlternateContent>
        <mc:Choice Requires="wps">
          <w:drawing>
            <wp:anchor distT="0" distB="0" distL="0" distR="0" simplePos="0" relativeHeight="251660288" behindDoc="0" locked="0" layoutInCell="1" allowOverlap="1" wp14:anchorId="64D412B5" wp14:editId="6BCE549A">
              <wp:simplePos x="635" y="635"/>
              <wp:positionH relativeFrom="page">
                <wp:align>left</wp:align>
              </wp:positionH>
              <wp:positionV relativeFrom="page">
                <wp:align>bottom</wp:align>
              </wp:positionV>
              <wp:extent cx="443865" cy="443865"/>
              <wp:effectExtent l="0" t="0" r="1270" b="0"/>
              <wp:wrapNone/>
              <wp:docPr id="16" name="Text Box 16"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8D5752" w14:textId="305BAE72"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D412B5" id="_x0000_t202" coordsize="21600,21600" o:spt="202" path="m,l,21600r21600,l21600,xe">
              <v:stroke joinstyle="miter"/>
              <v:path gradientshapeok="t" o:connecttype="rect"/>
            </v:shapetype>
            <v:shape id="Text Box 16"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138D5752" w14:textId="305BAE72"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EFAA" w14:textId="77777777" w:rsidR="00A21D13" w:rsidRDefault="00A21D13">
      <w:r>
        <w:separator/>
      </w:r>
    </w:p>
  </w:footnote>
  <w:footnote w:type="continuationSeparator" w:id="0">
    <w:p w14:paraId="2B3DBAD6" w14:textId="77777777" w:rsidR="00A21D13" w:rsidRDefault="00A21D13">
      <w:r>
        <w:continuationSeparator/>
      </w:r>
    </w:p>
  </w:footnote>
  <w:footnote w:type="continuationNotice" w:id="1">
    <w:p w14:paraId="6CE99F4C" w14:textId="77777777" w:rsidR="00A21D13" w:rsidRDefault="00A21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8"/>
  </w:num>
  <w:num w:numId="2" w16cid:durableId="513963709">
    <w:abstractNumId w:val="12"/>
  </w:num>
  <w:num w:numId="3" w16cid:durableId="30959319">
    <w:abstractNumId w:val="16"/>
  </w:num>
  <w:num w:numId="4" w16cid:durableId="1579515455">
    <w:abstractNumId w:val="17"/>
  </w:num>
  <w:num w:numId="5" w16cid:durableId="1213884486">
    <w:abstractNumId w:val="10"/>
  </w:num>
  <w:num w:numId="6" w16cid:durableId="895549640">
    <w:abstractNumId w:val="5"/>
  </w:num>
  <w:num w:numId="7" w16cid:durableId="1494643654">
    <w:abstractNumId w:val="1"/>
  </w:num>
  <w:num w:numId="8" w16cid:durableId="1777947175">
    <w:abstractNumId w:val="14"/>
  </w:num>
  <w:num w:numId="9" w16cid:durableId="461308997">
    <w:abstractNumId w:val="7"/>
  </w:num>
  <w:num w:numId="10" w16cid:durableId="1624651259">
    <w:abstractNumId w:val="9"/>
  </w:num>
  <w:num w:numId="11" w16cid:durableId="1362783709">
    <w:abstractNumId w:val="18"/>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286886139">
    <w:abstractNumId w:val="2"/>
  </w:num>
  <w:num w:numId="17" w16cid:durableId="343290742">
    <w:abstractNumId w:val="15"/>
  </w:num>
  <w:num w:numId="18" w16cid:durableId="1705055671">
    <w:abstractNumId w:val="6"/>
  </w:num>
  <w:num w:numId="19" w16cid:durableId="85422279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2F9"/>
    <w:rsid w:val="00003326"/>
    <w:rsid w:val="00003883"/>
    <w:rsid w:val="000042A1"/>
    <w:rsid w:val="000044E8"/>
    <w:rsid w:val="0000485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67B"/>
    <w:rsid w:val="00012960"/>
    <w:rsid w:val="00012B14"/>
    <w:rsid w:val="00012F79"/>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6A"/>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4F94"/>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87B"/>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1F0"/>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1A1D"/>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532B"/>
    <w:rsid w:val="00565824"/>
    <w:rsid w:val="0056583B"/>
    <w:rsid w:val="00565866"/>
    <w:rsid w:val="0056591A"/>
    <w:rsid w:val="00566562"/>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561"/>
    <w:rsid w:val="0063190E"/>
    <w:rsid w:val="00631917"/>
    <w:rsid w:val="00631C81"/>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836"/>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35FF"/>
    <w:rsid w:val="007642EB"/>
    <w:rsid w:val="0076433C"/>
    <w:rsid w:val="007645AE"/>
    <w:rsid w:val="007646C3"/>
    <w:rsid w:val="00764ABF"/>
    <w:rsid w:val="00764DE5"/>
    <w:rsid w:val="00764F6B"/>
    <w:rsid w:val="00765328"/>
    <w:rsid w:val="00765B49"/>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35F"/>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31FC3F92-9F23-4835-ABDF-44E3D947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26</TotalTime>
  <Pages>3</Pages>
  <Words>923</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25</cp:revision>
  <cp:lastPrinted>2017-09-11T16:45:00Z</cp:lastPrinted>
  <dcterms:created xsi:type="dcterms:W3CDTF">2023-05-15T22:39:00Z</dcterms:created>
  <dcterms:modified xsi:type="dcterms:W3CDTF">2023-05-15T23:08:00Z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e,f,10</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